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57" w:rsidRPr="00717F57" w:rsidRDefault="00717F57" w:rsidP="00717F57">
      <w:pPr>
        <w:jc w:val="center"/>
        <w:rPr>
          <w:rFonts w:ascii="Calibri" w:hAnsi="Calibri" w:cs="Arial"/>
          <w:b/>
          <w:sz w:val="36"/>
          <w:szCs w:val="36"/>
          <w:u w:val="single"/>
          <w:lang w:val="en-NZ"/>
        </w:rPr>
      </w:pPr>
      <w:r w:rsidRPr="00717F57">
        <w:rPr>
          <w:rFonts w:ascii="Calibri" w:hAnsi="Calibri" w:cs="Arial"/>
          <w:b/>
          <w:sz w:val="36"/>
          <w:szCs w:val="36"/>
          <w:u w:val="single"/>
          <w:lang w:val="en-NZ"/>
        </w:rPr>
        <w:t>Exceptional Circumstances</w:t>
      </w:r>
    </w:p>
    <w:p w:rsidR="00717F57" w:rsidRPr="00B60D24" w:rsidRDefault="00717F57" w:rsidP="00717F57">
      <w:pPr>
        <w:jc w:val="both"/>
        <w:rPr>
          <w:rFonts w:ascii="Calibri" w:hAnsi="Calibri" w:cs="Arial"/>
          <w:sz w:val="22"/>
          <w:szCs w:val="22"/>
          <w:lang w:val="en-NZ"/>
        </w:rPr>
      </w:pPr>
    </w:p>
    <w:p w:rsidR="00717F57" w:rsidRPr="00B60D24" w:rsidRDefault="00717F57" w:rsidP="00717F57">
      <w:pPr>
        <w:jc w:val="both"/>
        <w:rPr>
          <w:rFonts w:ascii="Calibri" w:hAnsi="Calibri" w:cs="Arial"/>
          <w:sz w:val="22"/>
          <w:szCs w:val="22"/>
          <w:lang w:val="en-NZ"/>
        </w:rPr>
      </w:pPr>
      <w:r w:rsidRPr="00B60D24">
        <w:rPr>
          <w:rFonts w:ascii="Calibri" w:hAnsi="Calibri" w:cs="Arial"/>
          <w:sz w:val="22"/>
          <w:szCs w:val="22"/>
          <w:lang w:val="en-NZ"/>
        </w:rPr>
        <w:t>a)   To facilitate an exchange with a non-member AIESEC entity. In such cases, all forms and procedures must flow through the Sponsoring Country. The following two scenarios illustrate this:</w:t>
      </w:r>
    </w:p>
    <w:p w:rsidR="00717F57" w:rsidRPr="00B60D24" w:rsidRDefault="00717F57" w:rsidP="00717F57">
      <w:pPr>
        <w:jc w:val="both"/>
        <w:rPr>
          <w:rFonts w:ascii="Calibri" w:hAnsi="Calibri" w:cs="Arial"/>
          <w:sz w:val="22"/>
          <w:szCs w:val="22"/>
          <w:lang w:val="en-NZ"/>
        </w:rPr>
      </w:pPr>
      <w:r w:rsidRPr="00B60D24">
        <w:rPr>
          <w:rFonts w:ascii="Calibri" w:hAnsi="Calibri" w:cs="Arial"/>
          <w:sz w:val="22"/>
          <w:szCs w:val="22"/>
          <w:lang w:val="en-NZ"/>
        </w:rPr>
        <w:t>        </w:t>
      </w:r>
      <w:r w:rsidRPr="00B60D24">
        <w:rPr>
          <w:rFonts w:ascii="Calibri" w:hAnsi="Calibri" w:cs="Arial"/>
          <w:sz w:val="22"/>
          <w:szCs w:val="22"/>
          <w:lang w:val="en-NZ"/>
        </w:rPr>
        <w:tab/>
        <w:t>Turkey (being the TN country) and Azerbaijan (being the EP country but Turkey being the Sponsor country): in this case, AIESEC International would be assigning the match, as both the TN and EP IDs would be from the same country (Turkey).</w:t>
      </w:r>
    </w:p>
    <w:p w:rsidR="00717F57" w:rsidRPr="00B60D24" w:rsidRDefault="00717F57" w:rsidP="00717F57">
      <w:pPr>
        <w:jc w:val="both"/>
        <w:rPr>
          <w:rFonts w:ascii="Calibri" w:hAnsi="Calibri" w:cs="Arial"/>
          <w:sz w:val="22"/>
          <w:szCs w:val="22"/>
          <w:lang w:val="en-NZ"/>
        </w:rPr>
      </w:pPr>
      <w:r w:rsidRPr="00B60D24">
        <w:rPr>
          <w:rFonts w:ascii="Calibri" w:hAnsi="Calibri" w:cs="Arial"/>
          <w:sz w:val="22"/>
          <w:szCs w:val="22"/>
          <w:lang w:val="en-NZ"/>
        </w:rPr>
        <w:t>        </w:t>
      </w:r>
      <w:r w:rsidRPr="00B60D24">
        <w:rPr>
          <w:rFonts w:ascii="Calibri" w:hAnsi="Calibri" w:cs="Arial"/>
          <w:sz w:val="22"/>
          <w:szCs w:val="22"/>
          <w:lang w:val="en-NZ"/>
        </w:rPr>
        <w:tab/>
        <w:t>Poland (being the TN country) and Azerbaijan (being the EP country but Turkey being the Sponsor country): in this case, Turkey would be providing the EP ID. The supporting MC must ensure that all the exchange policies are followed for both the member and non-member in the facilitation of these exchanges. An exchange may not take place between two non-members.</w:t>
      </w:r>
    </w:p>
    <w:p w:rsidR="00717F57" w:rsidRPr="00B60D24" w:rsidRDefault="00717F57" w:rsidP="00717F57">
      <w:pPr>
        <w:jc w:val="both"/>
        <w:rPr>
          <w:rFonts w:ascii="Calibri" w:hAnsi="Calibri" w:cs="Arial"/>
          <w:sz w:val="22"/>
          <w:szCs w:val="22"/>
          <w:lang w:val="en-NZ"/>
        </w:rPr>
      </w:pPr>
      <w:r w:rsidRPr="00B60D24">
        <w:rPr>
          <w:rFonts w:ascii="Calibri" w:hAnsi="Calibri" w:cs="Arial"/>
          <w:sz w:val="22"/>
          <w:szCs w:val="22"/>
          <w:lang w:val="en-NZ"/>
        </w:rPr>
        <w:t xml:space="preserve">b)   To facilitate exchanges between countries within a merged entity. Once Acceptance Notes have been exchanged, the hosting country must inform AIESEC International of the match and forward the Acceptance Notes as proof (via email or fax). AIESEC International will assign the match on behalf of the two parties. The TN and EP entities are responsible to follow all </w:t>
      </w:r>
      <w:bookmarkStart w:id="0" w:name="_GoBack"/>
      <w:bookmarkEnd w:id="0"/>
      <w:r w:rsidRPr="00B60D24">
        <w:rPr>
          <w:rFonts w:ascii="Calibri" w:hAnsi="Calibri" w:cs="Arial"/>
          <w:sz w:val="22"/>
          <w:szCs w:val="22"/>
          <w:lang w:val="en-NZ"/>
        </w:rPr>
        <w:t>Exchange Programme Policies. In those cases the Acceptance Notes alone are enough proof for a match.</w:t>
      </w:r>
    </w:p>
    <w:p w:rsidR="00717F57" w:rsidRPr="00B60D24" w:rsidRDefault="00717F57" w:rsidP="00717F57">
      <w:pPr>
        <w:jc w:val="both"/>
        <w:rPr>
          <w:rFonts w:ascii="Calibri" w:hAnsi="Calibri" w:cs="Arial"/>
          <w:sz w:val="22"/>
          <w:szCs w:val="22"/>
          <w:lang w:val="en-NZ"/>
        </w:rPr>
      </w:pPr>
      <w:r w:rsidRPr="00B60D24">
        <w:rPr>
          <w:rFonts w:ascii="Calibri" w:hAnsi="Calibri" w:cs="Arial"/>
          <w:sz w:val="22"/>
          <w:szCs w:val="22"/>
          <w:lang w:val="en-NZ"/>
        </w:rPr>
        <w:t>In case of breaking realisation for a match or realisation between merged entity, the Member</w:t>
      </w:r>
    </w:p>
    <w:p w:rsidR="00717F57" w:rsidRPr="00DA6F29" w:rsidRDefault="00717F57" w:rsidP="00717F57">
      <w:pPr>
        <w:jc w:val="both"/>
        <w:rPr>
          <w:rFonts w:ascii="Calibri" w:hAnsi="Calibri" w:cs="Arial"/>
          <w:sz w:val="22"/>
          <w:szCs w:val="22"/>
          <w:lang w:val="en-NZ"/>
        </w:rPr>
      </w:pPr>
      <w:r w:rsidRPr="00B60D24">
        <w:rPr>
          <w:rFonts w:ascii="Calibri" w:hAnsi="Calibri" w:cs="Arial"/>
          <w:sz w:val="22"/>
          <w:szCs w:val="22"/>
          <w:lang w:val="en-NZ"/>
        </w:rPr>
        <w:t>Committee must follow the breaking realisation policy stated in the XPP 5(SE) and report the situation to the ICB for confirmation.</w:t>
      </w:r>
    </w:p>
    <w:p w:rsidR="007B4C84" w:rsidRDefault="002C13F8"/>
    <w:sectPr w:rsidR="007B4C8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3F8" w:rsidRDefault="002C13F8" w:rsidP="00717F57">
      <w:r>
        <w:separator/>
      </w:r>
    </w:p>
  </w:endnote>
  <w:endnote w:type="continuationSeparator" w:id="0">
    <w:p w:rsidR="002C13F8" w:rsidRDefault="002C13F8" w:rsidP="0071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3F8" w:rsidRDefault="002C13F8" w:rsidP="00717F57">
      <w:r>
        <w:separator/>
      </w:r>
    </w:p>
  </w:footnote>
  <w:footnote w:type="continuationSeparator" w:id="0">
    <w:p w:rsidR="002C13F8" w:rsidRDefault="002C13F8" w:rsidP="00717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57" w:rsidRDefault="00717F57">
    <w:pPr>
      <w:pStyle w:val="Header"/>
    </w:pPr>
    <w:r>
      <w:rPr>
        <w:noProof/>
        <w:lang w:eastAsia="en-NZ"/>
      </w:rPr>
      <w:drawing>
        <wp:anchor distT="0" distB="0" distL="114300" distR="114300" simplePos="0" relativeHeight="251658240" behindDoc="1" locked="0" layoutInCell="1" allowOverlap="1">
          <wp:simplePos x="0" y="0"/>
          <wp:positionH relativeFrom="page">
            <wp:posOffset>-20955</wp:posOffset>
          </wp:positionH>
          <wp:positionV relativeFrom="page">
            <wp:posOffset>38100</wp:posOffset>
          </wp:positionV>
          <wp:extent cx="778192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5"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57"/>
    <w:rsid w:val="00296E7D"/>
    <w:rsid w:val="002C13F8"/>
    <w:rsid w:val="004108A5"/>
    <w:rsid w:val="00717F57"/>
    <w:rsid w:val="00F24B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10A54B-F25E-482A-98AD-90A44492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F5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F57"/>
    <w:pPr>
      <w:tabs>
        <w:tab w:val="center" w:pos="4513"/>
        <w:tab w:val="right" w:pos="9026"/>
      </w:tabs>
    </w:pPr>
    <w:rPr>
      <w:rFonts w:asciiTheme="minorHAnsi" w:eastAsiaTheme="minorHAnsi" w:hAnsiTheme="minorHAnsi" w:cstheme="minorBidi"/>
      <w:sz w:val="22"/>
      <w:szCs w:val="22"/>
      <w:lang w:val="en-NZ"/>
    </w:rPr>
  </w:style>
  <w:style w:type="character" w:customStyle="1" w:styleId="HeaderChar">
    <w:name w:val="Header Char"/>
    <w:basedOn w:val="DefaultParagraphFont"/>
    <w:link w:val="Header"/>
    <w:uiPriority w:val="99"/>
    <w:rsid w:val="00717F57"/>
  </w:style>
  <w:style w:type="paragraph" w:styleId="Footer">
    <w:name w:val="footer"/>
    <w:basedOn w:val="Normal"/>
    <w:link w:val="FooterChar"/>
    <w:uiPriority w:val="99"/>
    <w:unhideWhenUsed/>
    <w:rsid w:val="00717F57"/>
    <w:pPr>
      <w:tabs>
        <w:tab w:val="center" w:pos="4513"/>
        <w:tab w:val="right" w:pos="9026"/>
      </w:tabs>
    </w:pPr>
    <w:rPr>
      <w:rFonts w:asciiTheme="minorHAnsi" w:eastAsiaTheme="minorHAnsi" w:hAnsiTheme="minorHAnsi" w:cstheme="minorBidi"/>
      <w:sz w:val="22"/>
      <w:szCs w:val="22"/>
      <w:lang w:val="en-NZ"/>
    </w:rPr>
  </w:style>
  <w:style w:type="character" w:customStyle="1" w:styleId="FooterChar">
    <w:name w:val="Footer Char"/>
    <w:basedOn w:val="DefaultParagraphFont"/>
    <w:link w:val="Footer"/>
    <w:uiPriority w:val="99"/>
    <w:rsid w:val="0071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Webby</dc:creator>
  <cp:keywords/>
  <dc:description/>
  <cp:lastModifiedBy>Charlotte Webby</cp:lastModifiedBy>
  <cp:revision>1</cp:revision>
  <dcterms:created xsi:type="dcterms:W3CDTF">2014-02-10T20:36:00Z</dcterms:created>
  <dcterms:modified xsi:type="dcterms:W3CDTF">2014-02-10T21:29:00Z</dcterms:modified>
</cp:coreProperties>
</file>